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FD" w:rsidRPr="00124F7F" w:rsidRDefault="00B129FD" w:rsidP="00B129FD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124F7F">
        <w:rPr>
          <w:rFonts w:eastAsia="Times New Roman"/>
          <w:bCs/>
          <w:sz w:val="16"/>
          <w:szCs w:val="16"/>
          <w:lang w:eastAsia="ru-RU"/>
        </w:rPr>
        <w:t xml:space="preserve">Извещение  </w:t>
      </w:r>
      <w:r w:rsidR="00B5202E" w:rsidRPr="00124F7F">
        <w:rPr>
          <w:rFonts w:eastAsia="Times New Roman"/>
          <w:bCs/>
          <w:sz w:val="16"/>
          <w:szCs w:val="16"/>
          <w:lang w:eastAsia="ru-RU"/>
        </w:rPr>
        <w:t>о запросе предложений</w:t>
      </w:r>
    </w:p>
    <w:p w:rsidR="00B129FD" w:rsidRPr="00124F7F" w:rsidRDefault="00B129FD" w:rsidP="00B129FD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B129FD" w:rsidRPr="00124F7F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7F5FD1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1</w:t>
            </w:r>
            <w:r w:rsidR="00B129FD" w:rsidRPr="00124F7F">
              <w:rPr>
                <w:bCs/>
                <w:sz w:val="16"/>
                <w:szCs w:val="16"/>
              </w:rPr>
              <w:t>. Сведения о заказчике</w:t>
            </w:r>
          </w:p>
        </w:tc>
      </w:tr>
      <w:tr w:rsidR="00B129FD" w:rsidRPr="00124F7F" w:rsidTr="00866F43">
        <w:trPr>
          <w:trHeight w:val="343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7F5FD1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362824" w:rsidRDefault="00B129FD" w:rsidP="0036282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7F5FD1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7F5FD1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:rsidR="00B129FD" w:rsidRPr="00124F7F" w:rsidRDefault="00B129FD" w:rsidP="007F5FD1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7F5FD1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362824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7F5FD1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48268A" w:rsidP="007F5FD1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6" w:history="1">
              <w:r w:rsidR="00E05F20" w:rsidRPr="004B39EC">
                <w:rPr>
                  <w:rStyle w:val="a3"/>
                  <w:bCs/>
                  <w:sz w:val="16"/>
                  <w:szCs w:val="16"/>
                </w:rPr>
                <w:t>http://www.amurcluster.ru</w:t>
              </w:r>
            </w:hyperlink>
            <w:r w:rsidR="00E05F20">
              <w:rPr>
                <w:bCs/>
                <w:sz w:val="16"/>
                <w:szCs w:val="16"/>
              </w:rPr>
              <w:t>.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7F5FD1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7F5FD1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B5202E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5202E" w:rsidRPr="00124F7F" w:rsidRDefault="00B5202E" w:rsidP="007F5FD1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02E" w:rsidRPr="00124F7F" w:rsidRDefault="00F70260" w:rsidP="007F5FD1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О</w:t>
            </w:r>
            <w:r w:rsidR="00E50E51">
              <w:rPr>
                <w:rFonts w:eastAsia="Times New Roman"/>
                <w:bCs/>
                <w:sz w:val="16"/>
                <w:szCs w:val="16"/>
                <w:lang w:eastAsia="ru-RU"/>
              </w:rPr>
              <w:t>тбор</w:t>
            </w:r>
          </w:p>
        </w:tc>
      </w:tr>
      <w:tr w:rsidR="00B129FD" w:rsidRPr="00124F7F" w:rsidTr="007F5FD1">
        <w:trPr>
          <w:trHeight w:val="52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129FD" w:rsidP="007F5FD1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3. </w:t>
            </w:r>
            <w:r w:rsidR="00B5202E" w:rsidRPr="00124F7F">
              <w:rPr>
                <w:bCs/>
                <w:sz w:val="16"/>
                <w:szCs w:val="16"/>
              </w:rPr>
              <w:t>П</w:t>
            </w:r>
            <w:r w:rsidRPr="00124F7F">
              <w:rPr>
                <w:bCs/>
                <w:sz w:val="16"/>
                <w:szCs w:val="16"/>
              </w:rPr>
              <w:t>редмет</w:t>
            </w:r>
            <w:r w:rsidR="00B5202E" w:rsidRPr="00124F7F">
              <w:rPr>
                <w:bCs/>
                <w:sz w:val="16"/>
                <w:szCs w:val="16"/>
              </w:rPr>
              <w:t xml:space="preserve"> договора</w:t>
            </w:r>
            <w:r w:rsidRPr="00124F7F">
              <w:rPr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2735" w:type="pct"/>
          </w:tcPr>
          <w:p w:rsidR="00B129FD" w:rsidRPr="00124F7F" w:rsidRDefault="004D7F8F" w:rsidP="00442E3B">
            <w:pPr>
              <w:spacing w:line="216" w:lineRule="auto"/>
              <w:ind w:left="64" w:right="148" w:firstLine="0"/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Содействие в государственной регистрации товарного знака в Государственном реестре товарных знаков и знаков обслуживания Российской Федерации.</w:t>
            </w:r>
            <w:r w:rsidR="00E6495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129FD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321D3B" w:rsidP="007F5FD1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Требования к  </w:t>
            </w:r>
            <w:r w:rsidR="007952C4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качеству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услуги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185" w:rsidRDefault="00362824" w:rsidP="00362824">
            <w:pPr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442E3B">
              <w:rPr>
                <w:rFonts w:eastAsia="Times New Roman"/>
                <w:sz w:val="16"/>
                <w:szCs w:val="16"/>
              </w:rPr>
              <w:t xml:space="preserve">. </w:t>
            </w:r>
            <w:r w:rsidR="001C3185" w:rsidRPr="004D7F8F">
              <w:rPr>
                <w:sz w:val="16"/>
                <w:szCs w:val="16"/>
              </w:rPr>
              <w:t>Организация работ проводится для объектов СМСП</w:t>
            </w:r>
            <w:r w:rsidR="00183C56" w:rsidRPr="004D7F8F">
              <w:rPr>
                <w:sz w:val="16"/>
                <w:szCs w:val="16"/>
              </w:rPr>
              <w:t xml:space="preserve"> Амурской области, желающих зарегистрировать торговую марку.</w:t>
            </w:r>
          </w:p>
          <w:p w:rsidR="001934FA" w:rsidRDefault="001934FA" w:rsidP="003628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обязан проводить следующую работу:</w:t>
            </w:r>
          </w:p>
          <w:p w:rsidR="001934FA" w:rsidRDefault="001934FA" w:rsidP="001934FA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Pr="00083E9D">
              <w:rPr>
                <w:sz w:val="16"/>
                <w:szCs w:val="16"/>
              </w:rPr>
              <w:t>роверка (патентный поиск) среди поданных российских и международных заявок на регистрацию знаков</w:t>
            </w:r>
            <w:r>
              <w:rPr>
                <w:sz w:val="16"/>
                <w:szCs w:val="16"/>
              </w:rPr>
              <w:t>;</w:t>
            </w:r>
          </w:p>
          <w:p w:rsidR="001934FA" w:rsidRDefault="001934FA" w:rsidP="001934FA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</w:t>
            </w:r>
            <w:r w:rsidRPr="00083E9D">
              <w:rPr>
                <w:sz w:val="16"/>
                <w:szCs w:val="16"/>
              </w:rPr>
              <w:t>тветы на официальные запросы ФИПС в ходе обеих экспертиз,</w:t>
            </w:r>
            <w:r>
              <w:rPr>
                <w:sz w:val="16"/>
                <w:szCs w:val="16"/>
              </w:rPr>
              <w:t xml:space="preserve"> </w:t>
            </w:r>
          </w:p>
          <w:p w:rsidR="001934FA" w:rsidRDefault="001934FA" w:rsidP="001934FA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83E9D">
              <w:rPr>
                <w:sz w:val="16"/>
                <w:szCs w:val="16"/>
              </w:rPr>
              <w:t>получение решения формальной экспертизы ФИПС,</w:t>
            </w:r>
          </w:p>
          <w:p w:rsidR="001934FA" w:rsidRDefault="001934FA" w:rsidP="001934FA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83E9D">
              <w:rPr>
                <w:sz w:val="16"/>
                <w:szCs w:val="16"/>
              </w:rPr>
              <w:t>получение решения основной экспертизы заявленного обозначения в ФИПС</w:t>
            </w:r>
            <w:r>
              <w:rPr>
                <w:sz w:val="16"/>
                <w:szCs w:val="16"/>
              </w:rPr>
              <w:t>,</w:t>
            </w:r>
          </w:p>
          <w:p w:rsidR="004D7F8F" w:rsidRPr="00124F7F" w:rsidRDefault="004D7F8F" w:rsidP="004D7F8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124F7F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4D7F8F" w:rsidRPr="00124F7F" w:rsidRDefault="004D7F8F" w:rsidP="004D7F8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4D7F8F" w:rsidRPr="00124F7F" w:rsidRDefault="004D7F8F" w:rsidP="004D7F8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4D7F8F" w:rsidRPr="00124F7F" w:rsidRDefault="004D7F8F" w:rsidP="004D7F8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3) </w:t>
            </w:r>
            <w:proofErr w:type="gramStart"/>
            <w:r w:rsidRPr="00124F7F">
              <w:rPr>
                <w:sz w:val="16"/>
                <w:szCs w:val="16"/>
              </w:rPr>
              <w:t>осуществляющих</w:t>
            </w:r>
            <w:proofErr w:type="gramEnd"/>
            <w:r w:rsidRPr="00124F7F">
              <w:rPr>
                <w:sz w:val="16"/>
                <w:szCs w:val="16"/>
              </w:rPr>
              <w:t xml:space="preserve"> предпринимательскую деятельность в сфере игорного бизнеса;</w:t>
            </w:r>
          </w:p>
          <w:p w:rsidR="004D7F8F" w:rsidRPr="00124F7F" w:rsidRDefault="004D7F8F" w:rsidP="004D7F8F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7" w:history="1">
              <w:r w:rsidRPr="00124F7F">
                <w:rPr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124F7F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B129FD" w:rsidRPr="001C3185" w:rsidRDefault="004D7F8F" w:rsidP="007F5FD1">
            <w:pPr>
              <w:ind w:firstLine="0"/>
              <w:rPr>
                <w:color w:val="000000"/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8" w:history="1">
              <w:r w:rsidRPr="00124F7F">
                <w:rPr>
                  <w:color w:val="0000FF"/>
                  <w:sz w:val="16"/>
                  <w:szCs w:val="16"/>
                </w:rPr>
                <w:t>подакцизных</w:t>
              </w:r>
            </w:hyperlink>
            <w:r w:rsidRPr="00124F7F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9" w:history="1">
              <w:r w:rsidRPr="00124F7F">
                <w:rPr>
                  <w:color w:val="0000FF"/>
                  <w:sz w:val="16"/>
                  <w:szCs w:val="16"/>
                </w:rPr>
                <w:t>общераспространенных</w:t>
              </w:r>
            </w:hyperlink>
            <w:r w:rsidRPr="00124F7F">
              <w:rPr>
                <w:sz w:val="16"/>
                <w:szCs w:val="16"/>
              </w:rPr>
              <w:t xml:space="preserve"> полезных ископаемых</w:t>
            </w:r>
            <w:r w:rsidR="007F5FD1">
              <w:rPr>
                <w:sz w:val="16"/>
                <w:szCs w:val="16"/>
              </w:rPr>
              <w:t>.</w:t>
            </w:r>
          </w:p>
        </w:tc>
      </w:tr>
      <w:tr w:rsidR="00321D3B" w:rsidRPr="00124F7F" w:rsidTr="00866F43">
        <w:trPr>
          <w:trHeight w:val="133"/>
        </w:trPr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21D3B" w:rsidRPr="00124F7F" w:rsidRDefault="00CD3B7A" w:rsidP="007F5FD1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321D3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B" w:rsidRPr="00866F43" w:rsidRDefault="00321D3B" w:rsidP="00866F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</w:tc>
      </w:tr>
      <w:tr w:rsidR="002A3B17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3B17" w:rsidRPr="00124F7F" w:rsidRDefault="00CD3B7A" w:rsidP="007F5FD1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="002A3B17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 Требования к </w:t>
            </w:r>
            <w:r w:rsidR="003C390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описанию </w:t>
            </w:r>
            <w:r w:rsidR="002A3B17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участник</w:t>
            </w:r>
            <w:r w:rsidR="003C390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F43" w:rsidRPr="00866F43" w:rsidRDefault="001C3185" w:rsidP="00A4141E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66F43">
              <w:rPr>
                <w:sz w:val="16"/>
                <w:szCs w:val="16"/>
              </w:rPr>
              <w:t>По окончанию оказания услуги  Исполнитель обязан предоставить</w:t>
            </w:r>
            <w:r w:rsidR="001934FA">
              <w:rPr>
                <w:sz w:val="16"/>
                <w:szCs w:val="16"/>
              </w:rPr>
              <w:t xml:space="preserve">:        </w:t>
            </w:r>
            <w:r w:rsidR="004D7F8F">
              <w:rPr>
                <w:sz w:val="16"/>
                <w:szCs w:val="16"/>
              </w:rPr>
              <w:t xml:space="preserve"> </w:t>
            </w:r>
            <w:r w:rsidR="001934FA">
              <w:rPr>
                <w:sz w:val="16"/>
                <w:szCs w:val="16"/>
              </w:rPr>
              <w:t xml:space="preserve">- </w:t>
            </w:r>
            <w:r w:rsidR="004D7F8F">
              <w:rPr>
                <w:sz w:val="16"/>
                <w:szCs w:val="16"/>
              </w:rPr>
              <w:t>с</w:t>
            </w:r>
            <w:r w:rsidR="0087314B">
              <w:rPr>
                <w:sz w:val="16"/>
                <w:szCs w:val="16"/>
              </w:rPr>
              <w:t>видетельство на товарный знак и публикацию сведения о государственной регистрации товарного знака в официальном бюллетене/ отказ в регистрации товарного знака</w:t>
            </w:r>
            <w:r w:rsidR="004D7F8F">
              <w:rPr>
                <w:sz w:val="16"/>
                <w:szCs w:val="16"/>
              </w:rPr>
              <w:t>;</w:t>
            </w:r>
          </w:p>
          <w:p w:rsidR="004D7F8F" w:rsidRPr="00866F43" w:rsidRDefault="004D7F8F" w:rsidP="004D7F8F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 п</w:t>
            </w:r>
            <w:r w:rsidR="001C3185" w:rsidRPr="00124F7F">
              <w:rPr>
                <w:rFonts w:eastAsia="Times New Roman"/>
                <w:sz w:val="16"/>
                <w:szCs w:val="16"/>
                <w:lang w:eastAsia="ru-RU"/>
              </w:rPr>
              <w:t>риемка результатов оказания услуг производится заказчиком и оформляется актом приемк</w:t>
            </w:r>
            <w:r w:rsidR="00195EA5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="001C3185" w:rsidRPr="00124F7F">
              <w:rPr>
                <w:rFonts w:eastAsia="Times New Roman"/>
                <w:sz w:val="16"/>
                <w:szCs w:val="16"/>
                <w:lang w:eastAsia="ru-RU"/>
              </w:rPr>
              <w:t xml:space="preserve"> оказанных услуг</w:t>
            </w:r>
            <w:r w:rsidR="00195EA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866F43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6F43" w:rsidRDefault="00A4141E" w:rsidP="00183C56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83C56">
              <w:rPr>
                <w:rFonts w:eastAsia="Times New Roman"/>
                <w:bCs/>
                <w:sz w:val="16"/>
                <w:szCs w:val="16"/>
                <w:lang w:eastAsia="ru-RU"/>
              </w:rPr>
              <w:t>ц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ена договора: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F43" w:rsidRPr="00866F43" w:rsidRDefault="00A4141E" w:rsidP="00183C56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 w:rsidR="00183C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 тыс.</w:t>
            </w:r>
            <w:r w:rsidR="00183C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</w:t>
            </w:r>
            <w:r w:rsidR="00183C5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D702F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702F" w:rsidRPr="00124F7F" w:rsidRDefault="00A4141E" w:rsidP="007F5FD1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0D702F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 Сроки и порядок оплаты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02F" w:rsidRPr="00124F7F" w:rsidRDefault="00365956" w:rsidP="00F70260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</w:tc>
      </w:tr>
      <w:tr w:rsidR="00365956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5956" w:rsidRPr="00124F7F" w:rsidRDefault="00A4141E" w:rsidP="007F5FD1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37765B" w:rsidP="00CD3B7A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37765B" w:rsidRPr="00124F7F" w:rsidRDefault="0037765B" w:rsidP="00CD3B7A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37765B" w:rsidRPr="00124F7F" w:rsidRDefault="0037765B" w:rsidP="00CD3B7A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37765B" w:rsidRPr="00124F7F" w:rsidRDefault="0037765B" w:rsidP="00CD3B7A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287;</w:t>
            </w:r>
          </w:p>
          <w:p w:rsidR="00365956" w:rsidRPr="00124F7F" w:rsidRDefault="0037765B" w:rsidP="00CD3B7A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  <w:r w:rsidR="00AA3A78">
              <w:rPr>
                <w:bCs/>
                <w:sz w:val="16"/>
                <w:szCs w:val="16"/>
              </w:rPr>
              <w:t>.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CD3B7A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37765B" w:rsidP="0037765B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  <w:r w:rsidR="00AA3A78">
              <w:rPr>
                <w:bCs/>
                <w:sz w:val="16"/>
                <w:szCs w:val="16"/>
              </w:rPr>
              <w:t>.</w:t>
            </w:r>
          </w:p>
        </w:tc>
      </w:tr>
      <w:tr w:rsidR="00365956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5956" w:rsidRPr="00124F7F" w:rsidRDefault="00CD3B7A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956" w:rsidRPr="00124F7F" w:rsidRDefault="007F5FD1" w:rsidP="007F5FD1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  <w:r w:rsidR="00124F7F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.06.2019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CD3B7A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7F5FD1" w:rsidP="007F5FD1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  <w:r w:rsidR="00124F7F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="00124F7F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.2019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124F7F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CD3B7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964661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2B1" w:rsidRPr="002432B1" w:rsidRDefault="002432B1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Участник должен </w:t>
            </w:r>
            <w:r w:rsidRPr="002432B1">
              <w:rPr>
                <w:sz w:val="16"/>
                <w:szCs w:val="16"/>
                <w:lang w:eastAsia="ru-RU"/>
              </w:rPr>
              <w:t>соответств</w:t>
            </w:r>
            <w:r>
              <w:rPr>
                <w:sz w:val="16"/>
                <w:szCs w:val="16"/>
                <w:lang w:eastAsia="ru-RU"/>
              </w:rPr>
              <w:t>овать</w:t>
            </w:r>
            <w:r w:rsidRPr="002432B1">
              <w:rPr>
                <w:sz w:val="16"/>
                <w:szCs w:val="16"/>
                <w:lang w:eastAsia="ru-RU"/>
              </w:rPr>
              <w:t xml:space="preserve"> требованиям, установленным положени</w:t>
            </w:r>
            <w:r w:rsidR="00737815">
              <w:rPr>
                <w:sz w:val="16"/>
                <w:szCs w:val="16"/>
                <w:lang w:eastAsia="ru-RU"/>
              </w:rPr>
              <w:t>ем</w:t>
            </w:r>
            <w:r w:rsidRPr="002432B1">
              <w:rPr>
                <w:sz w:val="16"/>
                <w:szCs w:val="16"/>
                <w:lang w:eastAsia="ru-RU"/>
              </w:rPr>
              <w:t xml:space="preserve"> о закупочной деятельности НО «Фонд содействия </w:t>
            </w:r>
            <w:r w:rsidRPr="002432B1">
              <w:rPr>
                <w:sz w:val="16"/>
                <w:szCs w:val="16"/>
                <w:lang w:eastAsia="ru-RU"/>
              </w:rPr>
              <w:lastRenderedPageBreak/>
              <w:t>кредитованию субъектов малого и среднего предпринимательства Амурской области»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="00737815">
              <w:rPr>
                <w:sz w:val="16"/>
                <w:szCs w:val="16"/>
                <w:lang w:eastAsia="ru-RU"/>
              </w:rPr>
              <w:t xml:space="preserve"> утвержденным приказом </w:t>
            </w:r>
            <w:r>
              <w:rPr>
                <w:sz w:val="16"/>
                <w:szCs w:val="16"/>
                <w:lang w:eastAsia="ru-RU"/>
              </w:rPr>
              <w:t xml:space="preserve"> № 25 от 06 мая 2019 г</w:t>
            </w:r>
            <w:r w:rsidRPr="002432B1">
              <w:rPr>
                <w:sz w:val="16"/>
                <w:szCs w:val="16"/>
                <w:lang w:eastAsia="ru-RU"/>
              </w:rPr>
              <w:t>.</w:t>
            </w:r>
          </w:p>
          <w:p w:rsidR="0037765B" w:rsidRPr="00124F7F" w:rsidRDefault="0037765B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124F7F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7765B" w:rsidRDefault="0037765B" w:rsidP="0037765B">
            <w:pPr>
              <w:shd w:val="clear" w:color="auto" w:fill="FFFFFF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  <w:p w:rsidR="00A64E75" w:rsidRPr="0054531D" w:rsidRDefault="00A64E75" w:rsidP="00A64E75">
            <w:pPr>
              <w:pStyle w:val="1"/>
              <w:shd w:val="clear" w:color="auto" w:fill="auto"/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bookmarkStart w:id="0" w:name="bookmark68"/>
            <w:r w:rsidRPr="0054531D">
              <w:rPr>
                <w:sz w:val="16"/>
                <w:szCs w:val="16"/>
              </w:rPr>
              <w:t xml:space="preserve">Отсутствие на момент проведения </w:t>
            </w:r>
            <w:r>
              <w:rPr>
                <w:sz w:val="16"/>
                <w:szCs w:val="16"/>
              </w:rPr>
              <w:t>предварительного отбора</w:t>
            </w:r>
            <w:r w:rsidRPr="0054531D">
              <w:rPr>
                <w:sz w:val="16"/>
                <w:szCs w:val="16"/>
              </w:rPr>
              <w:t xml:space="preserve"> и подведения ее итогов </w:t>
            </w:r>
            <w:proofErr w:type="spellStart"/>
            <w:r w:rsidRPr="0054531D">
              <w:rPr>
                <w:sz w:val="16"/>
                <w:szCs w:val="16"/>
              </w:rPr>
              <w:t>претензионно</w:t>
            </w:r>
            <w:proofErr w:type="spellEnd"/>
            <w:r w:rsidRPr="0054531D">
              <w:rPr>
                <w:sz w:val="16"/>
                <w:szCs w:val="16"/>
              </w:rPr>
              <w:t xml:space="preserve"> - исковой работы Заказчика, связанной с неисполнением Участником </w:t>
            </w:r>
            <w:r>
              <w:rPr>
                <w:sz w:val="16"/>
                <w:szCs w:val="16"/>
              </w:rPr>
              <w:t>отбора</w:t>
            </w:r>
            <w:r w:rsidRPr="0054531D">
              <w:rPr>
                <w:sz w:val="16"/>
                <w:szCs w:val="16"/>
              </w:rPr>
              <w:t xml:space="preserve"> договорных обязательств перед Заказчиком, за исключением случаев, когда неисполнение договорных обязатель</w:t>
            </w:r>
            <w:proofErr w:type="gramStart"/>
            <w:r w:rsidRPr="0054531D">
              <w:rPr>
                <w:sz w:val="16"/>
                <w:szCs w:val="16"/>
              </w:rPr>
              <w:t>ств ст</w:t>
            </w:r>
            <w:proofErr w:type="gramEnd"/>
            <w:r w:rsidRPr="0054531D">
              <w:rPr>
                <w:sz w:val="16"/>
                <w:szCs w:val="16"/>
              </w:rPr>
              <w:t>ало следствием действий (бездействия) самого Заказчика.</w:t>
            </w:r>
            <w:bookmarkEnd w:id="0"/>
          </w:p>
          <w:p w:rsidR="002432B1" w:rsidRPr="002432B1" w:rsidRDefault="002432B1" w:rsidP="00F70260">
            <w:pPr>
              <w:shd w:val="clear" w:color="auto" w:fill="FFFFFF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2432B1">
              <w:rPr>
                <w:rFonts w:eastAsia="Times New Roman"/>
                <w:sz w:val="16"/>
                <w:szCs w:val="16"/>
                <w:lang w:eastAsia="ru-RU"/>
              </w:rPr>
              <w:t xml:space="preserve">Общий опыт работы по оказанию услуг не менее </w:t>
            </w:r>
            <w:r w:rsidR="00F70260">
              <w:rPr>
                <w:rFonts w:eastAsia="Times New Roman"/>
                <w:sz w:val="16"/>
                <w:szCs w:val="16"/>
                <w:lang w:eastAsia="ru-RU"/>
              </w:rPr>
              <w:t>1 года</w:t>
            </w:r>
            <w:r w:rsidRPr="002432B1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B129FD" w:rsidRPr="00124F7F" w:rsidTr="00442E3B">
        <w:trPr>
          <w:trHeight w:val="1600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CD3B7A" w:rsidP="007F5FD1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  <w:r w:rsidR="00E05F20">
              <w:rPr>
                <w:bCs/>
                <w:sz w:val="16"/>
                <w:szCs w:val="16"/>
              </w:rPr>
              <w:t>4</w:t>
            </w:r>
            <w:r w:rsidR="00124F7F" w:rsidRPr="00124F7F">
              <w:rPr>
                <w:bCs/>
                <w:sz w:val="16"/>
                <w:szCs w:val="16"/>
              </w:rPr>
              <w:t xml:space="preserve">. </w:t>
            </w:r>
            <w:r w:rsidR="00B129FD" w:rsidRPr="00124F7F">
              <w:rPr>
                <w:bCs/>
                <w:sz w:val="16"/>
                <w:szCs w:val="16"/>
              </w:rPr>
              <w:t xml:space="preserve">Перечень документов, представляемых в составе конкурсной заявки </w:t>
            </w:r>
          </w:p>
          <w:p w:rsidR="00B129FD" w:rsidRPr="00124F7F" w:rsidRDefault="00B129FD" w:rsidP="007F5FD1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442E3B" w:rsidRDefault="00442E3B" w:rsidP="00442E3B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16" w:lineRule="auto"/>
              <w:ind w:hanging="580"/>
              <w:rPr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442E3B" w:rsidRDefault="00442E3B" w:rsidP="00442E3B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16" w:lineRule="auto"/>
              <w:ind w:left="140" w:firstLine="0"/>
              <w:rPr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>Копии документов, подтверждающих опыт проведения данных услуг.</w:t>
            </w:r>
          </w:p>
          <w:p w:rsidR="00442E3B" w:rsidRDefault="00442E3B" w:rsidP="00442E3B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16" w:lineRule="auto"/>
              <w:ind w:left="140" w:firstLine="0"/>
              <w:rPr>
                <w:sz w:val="16"/>
                <w:szCs w:val="16"/>
              </w:rPr>
            </w:pPr>
            <w:r w:rsidRPr="009F7812">
              <w:rPr>
                <w:sz w:val="16"/>
                <w:szCs w:val="16"/>
              </w:rPr>
              <w:t>Копии документов, подтверждающих квалификацию специалиста, иных работников для исполнения договора (дипломы).</w:t>
            </w:r>
          </w:p>
          <w:p w:rsidR="007F5FD1" w:rsidRPr="007F5FD1" w:rsidRDefault="007F5FD1" w:rsidP="007F5FD1">
            <w:pPr>
              <w:pStyle w:val="a4"/>
              <w:autoSpaceDE w:val="0"/>
              <w:autoSpaceDN w:val="0"/>
              <w:adjustRightInd w:val="0"/>
              <w:spacing w:line="216" w:lineRule="auto"/>
              <w:ind w:left="140" w:right="141" w:firstLine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4.</w:t>
            </w:r>
            <w:r w:rsidRPr="007F5FD1">
              <w:rPr>
                <w:bCs/>
                <w:color w:val="000000" w:themeColor="text1"/>
                <w:sz w:val="16"/>
                <w:szCs w:val="16"/>
              </w:rPr>
              <w:t xml:space="preserve">Документ об исполнении </w:t>
            </w:r>
            <w:r w:rsidRPr="007F5FD1">
              <w:rPr>
                <w:color w:val="000000" w:themeColor="text1"/>
                <w:sz w:val="16"/>
                <w:szCs w:val="16"/>
              </w:rPr>
              <w:t>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  <w:r w:rsidRPr="007F5FD1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:rsidR="00442E3B" w:rsidRPr="00852F71" w:rsidRDefault="007F5FD1" w:rsidP="00442E3B">
            <w:pPr>
              <w:autoSpaceDE w:val="0"/>
              <w:autoSpaceDN w:val="0"/>
              <w:adjustRightInd w:val="0"/>
              <w:spacing w:line="216" w:lineRule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42E3B" w:rsidRPr="00852F71">
              <w:rPr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442E3B" w:rsidRPr="00852F71" w:rsidRDefault="00442E3B" w:rsidP="00442E3B">
            <w:pPr>
              <w:autoSpaceDE w:val="0"/>
              <w:autoSpaceDN w:val="0"/>
              <w:adjustRightInd w:val="0"/>
              <w:spacing w:line="216" w:lineRule="auto"/>
              <w:ind w:left="140" w:firstLine="0"/>
              <w:rPr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B129FD" w:rsidRPr="00124F7F" w:rsidRDefault="00442E3B" w:rsidP="00442E3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F950F3" w:rsidRPr="00124F7F" w:rsidTr="00F950F3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05132" w:rsidRPr="00305132" w:rsidRDefault="00F950F3" w:rsidP="00305132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305132">
              <w:rPr>
                <w:bCs/>
                <w:sz w:val="16"/>
                <w:szCs w:val="16"/>
              </w:rPr>
              <w:t>1</w:t>
            </w:r>
            <w:r w:rsidR="00E05F20">
              <w:rPr>
                <w:bCs/>
                <w:sz w:val="16"/>
                <w:szCs w:val="16"/>
              </w:rPr>
              <w:t>5</w:t>
            </w:r>
            <w:r w:rsidRPr="00305132">
              <w:rPr>
                <w:bCs/>
                <w:sz w:val="16"/>
                <w:szCs w:val="16"/>
              </w:rPr>
              <w:t xml:space="preserve">. </w:t>
            </w:r>
            <w:r w:rsidR="00305132" w:rsidRPr="00305132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F950F3" w:rsidRDefault="00F950F3" w:rsidP="007F5FD1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305132" w:rsidRPr="00305132" w:rsidRDefault="00305132" w:rsidP="00305132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305132" w:rsidRPr="00305132" w:rsidTr="007F5FD1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305132" w:rsidRPr="00305132" w:rsidTr="007F5FD1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305132" w:rsidRPr="00305132" w:rsidTr="007F5FD1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305132" w:rsidRPr="00305132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Оценка Заявок производится с использованием</w:t>
            </w:r>
            <w:r w:rsidR="00AC783B">
              <w:rPr>
                <w:rFonts w:eastAsiaTheme="minorHAnsi"/>
                <w:sz w:val="16"/>
                <w:szCs w:val="16"/>
              </w:rPr>
              <w:t xml:space="preserve"> </w:t>
            </w:r>
            <w:r w:rsidRPr="00305132">
              <w:rPr>
                <w:rFonts w:eastAsiaTheme="minorHAnsi"/>
                <w:sz w:val="16"/>
                <w:szCs w:val="16"/>
              </w:rPr>
              <w:t>указанных критериев оценки.</w:t>
            </w:r>
          </w:p>
          <w:p w:rsidR="00305132" w:rsidRPr="00305132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Сумма величин значимости критериевоценки составляет 100 процентов.</w:t>
            </w:r>
          </w:p>
          <w:p w:rsidR="00F950F3" w:rsidRPr="00124F7F" w:rsidRDefault="00F950F3" w:rsidP="00F950F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B129FD" w:rsidRPr="00124F7F" w:rsidTr="00C864E8">
        <w:trPr>
          <w:trHeight w:val="345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124F7F" w:rsidP="00A37B62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E05F20"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652F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срок до </w:t>
            </w:r>
            <w:r w:rsidR="003631F8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="00A37B62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E05F2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ию</w:t>
            </w:r>
            <w:r w:rsidR="003631F8">
              <w:rPr>
                <w:rFonts w:eastAsia="Times New Roman"/>
                <w:bCs/>
                <w:sz w:val="16"/>
                <w:szCs w:val="16"/>
                <w:lang w:eastAsia="ru-RU"/>
              </w:rPr>
              <w:t>л</w:t>
            </w:r>
            <w:r w:rsidR="00E05F2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я </w:t>
            </w:r>
            <w:r w:rsidR="00652F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2019 года комиссия по закупкам осуществляет рассмотрение и оценку заявок. </w:t>
            </w:r>
            <w:bookmarkStart w:id="1" w:name="_GoBack"/>
            <w:bookmarkEnd w:id="1"/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Итоги отбора публикуются на официальном сайте заказчика в информационно-телекоммуникационной сети «Интернет» </w:t>
            </w:r>
            <w:hyperlink r:id="rId10" w:history="1">
              <w:r w:rsidR="00E05F20" w:rsidRPr="004B39EC">
                <w:rPr>
                  <w:rStyle w:val="a3"/>
                  <w:bCs/>
                  <w:sz w:val="16"/>
                  <w:szCs w:val="16"/>
                </w:rPr>
                <w:t>http://www.amurcluster.ru</w:t>
              </w:r>
            </w:hyperlink>
            <w:r w:rsidR="00E05F20">
              <w:rPr>
                <w:bCs/>
                <w:sz w:val="16"/>
                <w:szCs w:val="16"/>
              </w:rPr>
              <w:t>.</w:t>
            </w:r>
          </w:p>
        </w:tc>
      </w:tr>
    </w:tbl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F26A12" w:rsidRDefault="00F26A12"/>
    <w:sectPr w:rsidR="00F26A12" w:rsidSect="00AC7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EDA"/>
    <w:multiLevelType w:val="hybridMultilevel"/>
    <w:tmpl w:val="A978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129FD"/>
    <w:rsid w:val="0002513C"/>
    <w:rsid w:val="00083E9D"/>
    <w:rsid w:val="00096B2A"/>
    <w:rsid w:val="000A1B3F"/>
    <w:rsid w:val="000D702F"/>
    <w:rsid w:val="00124F7F"/>
    <w:rsid w:val="001627C8"/>
    <w:rsid w:val="0017736B"/>
    <w:rsid w:val="00183C56"/>
    <w:rsid w:val="001934FA"/>
    <w:rsid w:val="00195EA5"/>
    <w:rsid w:val="001C3185"/>
    <w:rsid w:val="001D3C96"/>
    <w:rsid w:val="002432B1"/>
    <w:rsid w:val="002A3B17"/>
    <w:rsid w:val="002F56B1"/>
    <w:rsid w:val="00305132"/>
    <w:rsid w:val="00306823"/>
    <w:rsid w:val="00321D3B"/>
    <w:rsid w:val="00362824"/>
    <w:rsid w:val="003631F8"/>
    <w:rsid w:val="00365956"/>
    <w:rsid w:val="0037765B"/>
    <w:rsid w:val="003C3900"/>
    <w:rsid w:val="003F6537"/>
    <w:rsid w:val="00442E3B"/>
    <w:rsid w:val="0048268A"/>
    <w:rsid w:val="004D7F8F"/>
    <w:rsid w:val="0058204F"/>
    <w:rsid w:val="00652F28"/>
    <w:rsid w:val="00675A56"/>
    <w:rsid w:val="00737815"/>
    <w:rsid w:val="007952C4"/>
    <w:rsid w:val="007D63A2"/>
    <w:rsid w:val="007F5FD1"/>
    <w:rsid w:val="00866F43"/>
    <w:rsid w:val="0087314B"/>
    <w:rsid w:val="008E7C46"/>
    <w:rsid w:val="00950350"/>
    <w:rsid w:val="0096076F"/>
    <w:rsid w:val="00964661"/>
    <w:rsid w:val="00A32232"/>
    <w:rsid w:val="00A37B62"/>
    <w:rsid w:val="00A4141E"/>
    <w:rsid w:val="00A52324"/>
    <w:rsid w:val="00A64E75"/>
    <w:rsid w:val="00AA3A78"/>
    <w:rsid w:val="00AC783B"/>
    <w:rsid w:val="00AF7796"/>
    <w:rsid w:val="00B129FD"/>
    <w:rsid w:val="00B46FC4"/>
    <w:rsid w:val="00B47D3B"/>
    <w:rsid w:val="00B5202E"/>
    <w:rsid w:val="00BC1EC2"/>
    <w:rsid w:val="00C051E1"/>
    <w:rsid w:val="00C859E1"/>
    <w:rsid w:val="00C864E8"/>
    <w:rsid w:val="00CA21CF"/>
    <w:rsid w:val="00CD3B7A"/>
    <w:rsid w:val="00E05F20"/>
    <w:rsid w:val="00E50E51"/>
    <w:rsid w:val="00E6495C"/>
    <w:rsid w:val="00E84E44"/>
    <w:rsid w:val="00F13CC4"/>
    <w:rsid w:val="00F26A12"/>
    <w:rsid w:val="00F70260"/>
    <w:rsid w:val="00F9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29F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129FD"/>
    <w:pPr>
      <w:ind w:left="720"/>
      <w:contextualSpacing/>
    </w:pPr>
  </w:style>
  <w:style w:type="character" w:customStyle="1" w:styleId="a6">
    <w:name w:val="Другое_"/>
    <w:basedOn w:val="a0"/>
    <w:link w:val="a7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table" w:styleId="a8">
    <w:name w:val="Table Grid"/>
    <w:basedOn w:val="a1"/>
    <w:uiPriority w:val="39"/>
    <w:rsid w:val="00B1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paragraph" w:styleId="aa">
    <w:name w:val="Normal (Web)"/>
    <w:basedOn w:val="a"/>
    <w:uiPriority w:val="99"/>
    <w:unhideWhenUsed/>
    <w:rsid w:val="0036282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442E3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clust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urclust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A018366763147EE65AE4E2F3993D2C91986315E93C97FDDEE88A0259B3A6695D8C18AEDA16F9C4A05BAE5E7FF28971B2B6AEFC3D1132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3C5C-5C02-47C6-8398-38B13C49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FSK311</dc:creator>
  <cp:lastModifiedBy>Валерия</cp:lastModifiedBy>
  <cp:revision>21</cp:revision>
  <cp:lastPrinted>2019-06-17T06:06:00Z</cp:lastPrinted>
  <dcterms:created xsi:type="dcterms:W3CDTF">2019-06-05T08:03:00Z</dcterms:created>
  <dcterms:modified xsi:type="dcterms:W3CDTF">2019-06-25T07:16:00Z</dcterms:modified>
</cp:coreProperties>
</file>